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A9667" w14:textId="182DABA5" w:rsidR="00C04536" w:rsidRDefault="003A1563">
      <w:proofErr w:type="spellStart"/>
      <w:r>
        <w:t>buyW&amp;M</w:t>
      </w:r>
      <w:proofErr w:type="spellEnd"/>
      <w:r>
        <w:t xml:space="preserve"> Status Update</w:t>
      </w:r>
    </w:p>
    <w:p w14:paraId="33E60005" w14:textId="12E0A556" w:rsidR="003A1563" w:rsidRDefault="003A1563">
      <w:r>
        <w:t>Thank you all for your patience and understanding as we work togethe</w:t>
      </w:r>
      <w:r w:rsidR="008B5EDF">
        <w:t xml:space="preserve">r during the </w:t>
      </w:r>
      <w:proofErr w:type="spellStart"/>
      <w:r w:rsidR="008B5EDF">
        <w:t>buyW&amp;M</w:t>
      </w:r>
      <w:proofErr w:type="spellEnd"/>
      <w:r w:rsidR="008B5EDF">
        <w:t xml:space="preserve"> transition. This implementation has been a significant change to administrative procurement and payment processes and while we are making good progress in training, vendor onboarding and payment processing, as with any </w:t>
      </w:r>
      <w:r w:rsidR="00E32827">
        <w:t>institution</w:t>
      </w:r>
      <w:r w:rsidR="008B5EDF">
        <w:t xml:space="preserve">-wide </w:t>
      </w:r>
      <w:r w:rsidR="00E32827">
        <w:t xml:space="preserve">implementation, processes are tweaked, and </w:t>
      </w:r>
      <w:r w:rsidR="766EFD6B">
        <w:t xml:space="preserve">demands for </w:t>
      </w:r>
      <w:r w:rsidR="00E32827">
        <w:t xml:space="preserve">education and support are significantly increased. </w:t>
      </w:r>
    </w:p>
    <w:p w14:paraId="554BF706" w14:textId="550CE6B3" w:rsidR="003A1563" w:rsidRDefault="00E32827">
      <w:r>
        <w:t xml:space="preserve">We recognize </w:t>
      </w:r>
      <w:r w:rsidR="6DFCB2DE">
        <w:t>that</w:t>
      </w:r>
      <w:r>
        <w:t xml:space="preserve"> response time </w:t>
      </w:r>
      <w:r w:rsidR="30FA3924">
        <w:t xml:space="preserve">to inquiries from staff and vendors has </w:t>
      </w:r>
      <w:r w:rsidR="53EFB137">
        <w:t xml:space="preserve">not met </w:t>
      </w:r>
      <w:r w:rsidR="004364E2">
        <w:t>expectations in</w:t>
      </w:r>
      <w:r w:rsidR="5D0A4377">
        <w:t xml:space="preserve"> </w:t>
      </w:r>
      <w:r w:rsidR="0D24B71F">
        <w:t>many cases</w:t>
      </w:r>
      <w:r>
        <w:t xml:space="preserve">. We apologize for the delays you and your vendors may be </w:t>
      </w:r>
      <w:r w:rsidR="1A9DDC5B">
        <w:t>experiencing.</w:t>
      </w:r>
      <w:r>
        <w:t xml:space="preserve"> </w:t>
      </w:r>
      <w:r w:rsidR="791256DE">
        <w:t>T</w:t>
      </w:r>
      <w:r>
        <w:t xml:space="preserve">he core team is diligently working on responses and </w:t>
      </w:r>
      <w:r w:rsidR="01B2211C">
        <w:t>is</w:t>
      </w:r>
      <w:r>
        <w:t xml:space="preserve"> in the process of training additional individuals to help with triage and responses. </w:t>
      </w:r>
      <w:r w:rsidR="5C99DC1F">
        <w:t xml:space="preserve">Please note for internal inquiries, please submit your request to </w:t>
      </w:r>
      <w:r w:rsidR="04E53D8F">
        <w:t xml:space="preserve">the </w:t>
      </w:r>
      <w:hyperlink r:id="rId7">
        <w:proofErr w:type="spellStart"/>
        <w:r w:rsidR="04E53D8F" w:rsidRPr="3847B3B0">
          <w:rPr>
            <w:rStyle w:val="Hyperlink"/>
          </w:rPr>
          <w:t>buyW&amp;M</w:t>
        </w:r>
        <w:proofErr w:type="spellEnd"/>
        <w:r w:rsidR="04E53D8F" w:rsidRPr="3847B3B0">
          <w:rPr>
            <w:rStyle w:val="Hyperlink"/>
          </w:rPr>
          <w:t xml:space="preserve"> helpdesk</w:t>
        </w:r>
      </w:hyperlink>
      <w:r w:rsidR="04E53D8F">
        <w:t xml:space="preserve"> for support</w:t>
      </w:r>
      <w:r w:rsidR="625BB360">
        <w:t>.</w:t>
      </w:r>
      <w:r w:rsidR="04E53D8F">
        <w:t xml:space="preserve"> </w:t>
      </w:r>
      <w:r w:rsidR="3DCB1FC7">
        <w:t xml:space="preserve">Further, we completed an ‘all hands-on deck’ to clear the </w:t>
      </w:r>
      <w:proofErr w:type="spellStart"/>
      <w:r w:rsidR="3DCB1FC7">
        <w:t>buyW&amp;M</w:t>
      </w:r>
      <w:proofErr w:type="spellEnd"/>
      <w:r w:rsidR="3DCB1FC7">
        <w:t xml:space="preserve"> inbox and are continuing to resolve tickets submitted through the help desk as a priority.</w:t>
      </w:r>
    </w:p>
    <w:p w14:paraId="2B1EA200" w14:textId="2A4458DC" w:rsidR="003A1563" w:rsidRDefault="004364E2" w:rsidP="498FF6C9">
      <w:hyperlink r:id="rId8" w:history="1"/>
      <w:r w:rsidR="1FA978E6">
        <w:t xml:space="preserve">We encourage all users to make use of the </w:t>
      </w:r>
      <w:r w:rsidR="130A11B8">
        <w:t xml:space="preserve">project’s </w:t>
      </w:r>
      <w:r w:rsidR="1FA978E6">
        <w:t>resources in Box</w:t>
      </w:r>
      <w:r w:rsidR="4C519E9D">
        <w:t>,</w:t>
      </w:r>
      <w:r w:rsidR="1FA978E6">
        <w:t xml:space="preserve"> Cornerstone</w:t>
      </w:r>
      <w:r w:rsidR="7E783478">
        <w:t xml:space="preserve"> and on the </w:t>
      </w:r>
      <w:proofErr w:type="spellStart"/>
      <w:r w:rsidR="7E783478">
        <w:t>buyW&amp;M</w:t>
      </w:r>
      <w:proofErr w:type="spellEnd"/>
      <w:r w:rsidR="7E783478">
        <w:t xml:space="preserve"> website </w:t>
      </w:r>
      <w:r w:rsidR="1FA978E6">
        <w:t xml:space="preserve"> as answers to many of the inquiries we</w:t>
      </w:r>
      <w:r w:rsidR="72B2F0D8">
        <w:t xml:space="preserve"> receive are available</w:t>
      </w:r>
      <w:r w:rsidR="0CA37B54">
        <w:t xml:space="preserve"> within those resources</w:t>
      </w:r>
      <w:r w:rsidR="72B2F0D8">
        <w:t xml:space="preserve">. </w:t>
      </w:r>
      <w:r w:rsidR="2155C1A1">
        <w:t xml:space="preserve">The core team will continue to publish regular functional reminders/updates based on support trends and hold  </w:t>
      </w:r>
      <w:hyperlink r:id="rId9" w:history="1">
        <w:r w:rsidR="2155C1A1">
          <w:t xml:space="preserve">virtual weekly </w:t>
        </w:r>
      </w:hyperlink>
      <w:r w:rsidR="2155C1A1">
        <w:t>drop-in office hours on Wednesdays from 2:30 to 4:00.</w:t>
      </w:r>
    </w:p>
    <w:p w14:paraId="7D73CD64" w14:textId="63BA4765" w:rsidR="00E21EB4" w:rsidRDefault="007E2AF3">
      <w:r>
        <w:t xml:space="preserve">We would also like to take this time to </w:t>
      </w:r>
      <w:r w:rsidR="00E21EB4">
        <w:t xml:space="preserve">provide you with an update on </w:t>
      </w:r>
      <w:r w:rsidR="41B1031C">
        <w:t>system</w:t>
      </w:r>
      <w:r w:rsidR="00E21EB4">
        <w:t xml:space="preserve"> usage. </w:t>
      </w:r>
    </w:p>
    <w:p w14:paraId="79BF8093" w14:textId="3F86C0E2" w:rsidR="00E21EB4" w:rsidRDefault="00E21EB4">
      <w:r>
        <w:t xml:space="preserve">Since implementation on 07/06/2021, </w:t>
      </w:r>
      <w:r w:rsidR="00C839BA">
        <w:t xml:space="preserve">as of </w:t>
      </w:r>
      <w:r w:rsidR="00433D86">
        <w:t xml:space="preserve">09/22/2021, </w:t>
      </w:r>
      <w:r>
        <w:t>our university has processed: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9"/>
        <w:gridCol w:w="2257"/>
        <w:gridCol w:w="2257"/>
        <w:gridCol w:w="2257"/>
      </w:tblGrid>
      <w:tr w:rsidR="005769A7" w14:paraId="26646268" w14:textId="77777777" w:rsidTr="005769A7">
        <w:tc>
          <w:tcPr>
            <w:tcW w:w="2579" w:type="dxa"/>
          </w:tcPr>
          <w:p w14:paraId="5929E677" w14:textId="73EEA88E" w:rsidR="005769A7" w:rsidRPr="001835CE" w:rsidRDefault="005769A7" w:rsidP="00614E96">
            <w:pPr>
              <w:jc w:val="center"/>
              <w:rPr>
                <w:b/>
                <w:bCs/>
              </w:rPr>
            </w:pPr>
            <w:r w:rsidRPr="001835CE">
              <w:rPr>
                <w:b/>
                <w:bCs/>
              </w:rPr>
              <w:t># of transactions</w:t>
            </w:r>
          </w:p>
        </w:tc>
        <w:tc>
          <w:tcPr>
            <w:tcW w:w="2257" w:type="dxa"/>
          </w:tcPr>
          <w:p w14:paraId="377B4922" w14:textId="71C6CB15" w:rsidR="005769A7" w:rsidRPr="001835CE" w:rsidRDefault="005769A7" w:rsidP="00614E96">
            <w:pPr>
              <w:jc w:val="center"/>
              <w:rPr>
                <w:b/>
                <w:bCs/>
              </w:rPr>
            </w:pPr>
            <w:r w:rsidRPr="001835CE">
              <w:rPr>
                <w:b/>
                <w:bCs/>
              </w:rPr>
              <w:t>Type</w:t>
            </w:r>
          </w:p>
        </w:tc>
        <w:tc>
          <w:tcPr>
            <w:tcW w:w="2257" w:type="dxa"/>
          </w:tcPr>
          <w:p w14:paraId="42CC0DFE" w14:textId="024DA5A4" w:rsidR="005769A7" w:rsidRPr="001835CE" w:rsidRDefault="001835CE" w:rsidP="00614E96">
            <w:pPr>
              <w:jc w:val="center"/>
              <w:rPr>
                <w:b/>
                <w:bCs/>
              </w:rPr>
            </w:pPr>
            <w:r w:rsidRPr="001835CE">
              <w:rPr>
                <w:b/>
                <w:bCs/>
              </w:rPr>
              <w:t>Days to process</w:t>
            </w:r>
          </w:p>
        </w:tc>
        <w:tc>
          <w:tcPr>
            <w:tcW w:w="2257" w:type="dxa"/>
          </w:tcPr>
          <w:p w14:paraId="0FB17865" w14:textId="09C19210" w:rsidR="005769A7" w:rsidRPr="001835CE" w:rsidRDefault="001835CE" w:rsidP="00614E96">
            <w:pPr>
              <w:jc w:val="center"/>
              <w:rPr>
                <w:b/>
                <w:bCs/>
              </w:rPr>
            </w:pPr>
            <w:r w:rsidRPr="001835CE">
              <w:rPr>
                <w:b/>
                <w:bCs/>
              </w:rPr>
              <w:t>Percentage</w:t>
            </w:r>
          </w:p>
        </w:tc>
      </w:tr>
      <w:tr w:rsidR="005769A7" w14:paraId="32E177DF" w14:textId="77777777" w:rsidTr="005769A7">
        <w:tc>
          <w:tcPr>
            <w:tcW w:w="2579" w:type="dxa"/>
          </w:tcPr>
          <w:p w14:paraId="741FED98" w14:textId="4C20A2D2" w:rsidR="005769A7" w:rsidRDefault="001835CE" w:rsidP="00614E96">
            <w:pPr>
              <w:jc w:val="center"/>
            </w:pPr>
            <w:r>
              <w:t>3,2</w:t>
            </w:r>
            <w:r w:rsidR="00D42A0C">
              <w:t>41</w:t>
            </w:r>
          </w:p>
        </w:tc>
        <w:tc>
          <w:tcPr>
            <w:tcW w:w="2257" w:type="dxa"/>
          </w:tcPr>
          <w:p w14:paraId="07EADACE" w14:textId="0554C739" w:rsidR="005769A7" w:rsidRDefault="00D42A0C" w:rsidP="00614E96">
            <w:pPr>
              <w:jc w:val="center"/>
            </w:pPr>
            <w:r>
              <w:t>Requisitions (order requests) Approved</w:t>
            </w:r>
          </w:p>
        </w:tc>
        <w:tc>
          <w:tcPr>
            <w:tcW w:w="2257" w:type="dxa"/>
          </w:tcPr>
          <w:p w14:paraId="3693D643" w14:textId="4A91E3AC" w:rsidR="005769A7" w:rsidRDefault="00C271EC" w:rsidP="00614E96">
            <w:pPr>
              <w:jc w:val="center"/>
            </w:pPr>
            <w:r>
              <w:t>0-1</w:t>
            </w:r>
          </w:p>
        </w:tc>
        <w:tc>
          <w:tcPr>
            <w:tcW w:w="2257" w:type="dxa"/>
          </w:tcPr>
          <w:p w14:paraId="57D8CA9B" w14:textId="3CC3A16A" w:rsidR="005769A7" w:rsidRDefault="003F69CC" w:rsidP="00614E96">
            <w:pPr>
              <w:jc w:val="center"/>
            </w:pPr>
            <w:r>
              <w:t>84%</w:t>
            </w:r>
          </w:p>
        </w:tc>
      </w:tr>
    </w:tbl>
    <w:p w14:paraId="4087A308" w14:textId="77777777" w:rsidR="00873F68" w:rsidRDefault="007E2AF3">
      <w:r>
        <w:t xml:space="preserve"> </w:t>
      </w:r>
    </w:p>
    <w:p w14:paraId="13EBC7EE" w14:textId="4DDF58E2" w:rsidR="2CF0F6E4" w:rsidRDefault="2CF0F6E4" w:rsidP="498FF6C9">
      <w:r>
        <w:t xml:space="preserve">It is encouraging to see that </w:t>
      </w:r>
      <w:r w:rsidR="5D13AD96">
        <w:t xml:space="preserve">it’s taking less than 1 day for 84% of requisitions to become purchase orders. </w:t>
      </w:r>
    </w:p>
    <w:tbl>
      <w:tblPr>
        <w:tblW w:w="972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500"/>
        <w:gridCol w:w="222"/>
      </w:tblGrid>
      <w:tr w:rsidR="00873F68" w:rsidRPr="00873F68" w14:paraId="708E404C" w14:textId="77777777" w:rsidTr="79C15268">
        <w:trPr>
          <w:gridAfter w:val="1"/>
          <w:wAfter w:w="222" w:type="dxa"/>
          <w:trHeight w:val="450"/>
        </w:trPr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DB073C" w14:textId="6CA2D7CA" w:rsidR="00873F68" w:rsidRPr="004A2D6C" w:rsidRDefault="65242A77" w:rsidP="00873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79C1526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Invoice Source - Fiscal Year-To-Date (7/1/2021-9/22/2021)</w:t>
            </w:r>
          </w:p>
          <w:p w14:paraId="2E86483E" w14:textId="566331E8" w:rsidR="0076382A" w:rsidRPr="00873F68" w:rsidRDefault="0076382A" w:rsidP="00873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</w:rPr>
            </w:pPr>
            <w:r w:rsidRPr="004A2D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Total Number of Invoices 5,518</w:t>
            </w:r>
          </w:p>
        </w:tc>
      </w:tr>
      <w:tr w:rsidR="00873F68" w:rsidRPr="00873F68" w14:paraId="6E48D0A4" w14:textId="77777777" w:rsidTr="79C15268">
        <w:trPr>
          <w:trHeight w:val="420"/>
        </w:trPr>
        <w:tc>
          <w:tcPr>
            <w:tcW w:w="9500" w:type="dxa"/>
            <w:vMerge/>
            <w:vAlign w:val="center"/>
            <w:hideMark/>
          </w:tcPr>
          <w:p w14:paraId="1C459248" w14:textId="77777777" w:rsidR="00873F68" w:rsidRPr="00873F68" w:rsidRDefault="00873F68" w:rsidP="00873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9293" w14:textId="77777777" w:rsidR="00873F68" w:rsidRPr="00873F68" w:rsidRDefault="00873F68" w:rsidP="00873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</w:rPr>
            </w:pPr>
          </w:p>
        </w:tc>
      </w:tr>
    </w:tbl>
    <w:p w14:paraId="16CF202E" w14:textId="31F6301F" w:rsidR="00253BBD" w:rsidRDefault="004A2D6C" w:rsidP="00AA4F6F">
      <w:pPr>
        <w:jc w:val="center"/>
      </w:pPr>
      <w:r>
        <w:rPr>
          <w:noProof/>
        </w:rPr>
        <w:drawing>
          <wp:inline distT="0" distB="0" distL="0" distR="0" wp14:anchorId="4CA0D95F" wp14:editId="1A5D6429">
            <wp:extent cx="4178300" cy="1816100"/>
            <wp:effectExtent l="0" t="0" r="12700" b="1270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D6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41F9B53" w14:textId="77777777" w:rsidR="00AA4F6F" w:rsidRDefault="30A157AB" w:rsidP="00AA4F6F">
      <w:pPr>
        <w:spacing w:after="0" w:line="240" w:lineRule="auto"/>
        <w:jc w:val="center"/>
      </w:pPr>
      <w:r>
        <w:t xml:space="preserve">Almost a third </w:t>
      </w:r>
      <w:r w:rsidR="65B377D3">
        <w:t xml:space="preserve">of the over 5,000 invoices processed in the system are being sent electronically to </w:t>
      </w:r>
      <w:proofErr w:type="spellStart"/>
      <w:r w:rsidR="65B377D3">
        <w:t>buyW&amp;M</w:t>
      </w:r>
      <w:proofErr w:type="spellEnd"/>
      <w:r w:rsidR="65B377D3">
        <w:t xml:space="preserve"> via our punchout vendors</w:t>
      </w:r>
      <w:r w:rsidR="5D6FE319">
        <w:t xml:space="preserve">. </w:t>
      </w:r>
    </w:p>
    <w:p w14:paraId="2DEC97D3" w14:textId="56ABB3DA" w:rsidR="00EE10D3" w:rsidRPr="00AA4F6F" w:rsidRDefault="00EE10D3" w:rsidP="00AA4F6F">
      <w:pPr>
        <w:spacing w:after="0" w:line="240" w:lineRule="auto"/>
        <w:jc w:val="center"/>
      </w:pPr>
      <w:r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 xml:space="preserve">Invoice Totals = </w:t>
      </w:r>
      <w:r w:rsidRPr="00873F68">
        <w:rPr>
          <w:rFonts w:ascii="Calibri" w:eastAsia="Times New Roman" w:hAnsi="Calibri" w:cs="Calibri"/>
          <w:b/>
          <w:bCs/>
          <w:sz w:val="28"/>
          <w:szCs w:val="28"/>
        </w:rPr>
        <w:t>Fiscal Year-To-Date (7/1/2021-9/22/2021)</w:t>
      </w:r>
    </w:p>
    <w:p w14:paraId="52309C64" w14:textId="688937EA" w:rsidR="00EE10D3" w:rsidRDefault="00EE10D3" w:rsidP="00EE10D3">
      <w:pPr>
        <w:jc w:val="center"/>
      </w:pPr>
      <w:r w:rsidRPr="004A2D6C">
        <w:rPr>
          <w:rFonts w:ascii="Calibri" w:eastAsia="Times New Roman" w:hAnsi="Calibri" w:cs="Calibri"/>
          <w:b/>
          <w:bCs/>
          <w:sz w:val="28"/>
          <w:szCs w:val="28"/>
        </w:rPr>
        <w:t>Total Number of Invoices 5,518</w:t>
      </w:r>
    </w:p>
    <w:p w14:paraId="06858171" w14:textId="66A7B172" w:rsidR="00E25306" w:rsidRDefault="00E25306">
      <w:r>
        <w:rPr>
          <w:noProof/>
        </w:rPr>
        <w:drawing>
          <wp:inline distT="0" distB="0" distL="0" distR="0" wp14:anchorId="4A4F489E" wp14:editId="328D76B9">
            <wp:extent cx="5943600" cy="3477895"/>
            <wp:effectExtent l="0" t="0" r="0" b="825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D7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F1C0AB" w14:textId="65EE6AD6" w:rsidR="0076382A" w:rsidRDefault="00DD5BF9">
      <w:r>
        <w:t>Electronic = vendors attaching invoices</w:t>
      </w:r>
      <w:r w:rsidR="00A52A7B">
        <w:t xml:space="preserve"> via cXML/EDI</w:t>
      </w:r>
      <w:r>
        <w:t xml:space="preserve"> </w:t>
      </w:r>
      <w:r w:rsidR="00B121AC">
        <w:t>through system</w:t>
      </w:r>
      <w:r>
        <w:t xml:space="preserve"> – no manual effort from W&amp;M users</w:t>
      </w:r>
      <w:r w:rsidR="00EB4B7D">
        <w:t xml:space="preserve"> </w:t>
      </w:r>
    </w:p>
    <w:p w14:paraId="0B1722EE" w14:textId="6C47AFE5" w:rsidR="00B121AC" w:rsidRDefault="00B121AC">
      <w:r>
        <w:t>Manual</w:t>
      </w:r>
      <w:r w:rsidR="00AA4F6F">
        <w:t>/Form Request</w:t>
      </w:r>
      <w:r>
        <w:t xml:space="preserve"> = Invoices </w:t>
      </w:r>
      <w:r w:rsidR="0056512D">
        <w:t>submitted by W&amp;M users</w:t>
      </w:r>
    </w:p>
    <w:p w14:paraId="0B0C9B0B" w14:textId="77777777" w:rsidR="00702934" w:rsidRDefault="00702934"/>
    <w:sectPr w:rsidR="00702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63"/>
    <w:rsid w:val="00012307"/>
    <w:rsid w:val="0001553F"/>
    <w:rsid w:val="00042A2E"/>
    <w:rsid w:val="0008376B"/>
    <w:rsid w:val="0008543B"/>
    <w:rsid w:val="000D3F1C"/>
    <w:rsid w:val="000E2194"/>
    <w:rsid w:val="0013384F"/>
    <w:rsid w:val="00165836"/>
    <w:rsid w:val="001835CE"/>
    <w:rsid w:val="001E1D25"/>
    <w:rsid w:val="00205057"/>
    <w:rsid w:val="002057D0"/>
    <w:rsid w:val="00206A28"/>
    <w:rsid w:val="00210FD0"/>
    <w:rsid w:val="00216525"/>
    <w:rsid w:val="002223BC"/>
    <w:rsid w:val="002331F0"/>
    <w:rsid w:val="00245FF2"/>
    <w:rsid w:val="00253281"/>
    <w:rsid w:val="00253BBD"/>
    <w:rsid w:val="002548B8"/>
    <w:rsid w:val="00272D0D"/>
    <w:rsid w:val="00276960"/>
    <w:rsid w:val="002A5BAB"/>
    <w:rsid w:val="002A7D58"/>
    <w:rsid w:val="002C658C"/>
    <w:rsid w:val="002C66F9"/>
    <w:rsid w:val="00303BC9"/>
    <w:rsid w:val="003451F2"/>
    <w:rsid w:val="003508C1"/>
    <w:rsid w:val="003832DB"/>
    <w:rsid w:val="003A1563"/>
    <w:rsid w:val="003A7451"/>
    <w:rsid w:val="003B18F8"/>
    <w:rsid w:val="003B7FEE"/>
    <w:rsid w:val="003F69CC"/>
    <w:rsid w:val="00433D86"/>
    <w:rsid w:val="004364E2"/>
    <w:rsid w:val="0045041C"/>
    <w:rsid w:val="00496443"/>
    <w:rsid w:val="004A2D6C"/>
    <w:rsid w:val="004A7B66"/>
    <w:rsid w:val="004C194F"/>
    <w:rsid w:val="004D584C"/>
    <w:rsid w:val="00540C40"/>
    <w:rsid w:val="00554057"/>
    <w:rsid w:val="0056512D"/>
    <w:rsid w:val="005769A7"/>
    <w:rsid w:val="0059415B"/>
    <w:rsid w:val="005A4748"/>
    <w:rsid w:val="005B7FC5"/>
    <w:rsid w:val="00606CDD"/>
    <w:rsid w:val="00614E96"/>
    <w:rsid w:val="00616F1B"/>
    <w:rsid w:val="0062281A"/>
    <w:rsid w:val="00680796"/>
    <w:rsid w:val="006C525B"/>
    <w:rsid w:val="00700846"/>
    <w:rsid w:val="00702934"/>
    <w:rsid w:val="0071777B"/>
    <w:rsid w:val="0073297E"/>
    <w:rsid w:val="0074553E"/>
    <w:rsid w:val="0076382A"/>
    <w:rsid w:val="007E2AF3"/>
    <w:rsid w:val="00810506"/>
    <w:rsid w:val="00827122"/>
    <w:rsid w:val="008302DA"/>
    <w:rsid w:val="00843D72"/>
    <w:rsid w:val="00873F68"/>
    <w:rsid w:val="0087498C"/>
    <w:rsid w:val="00890BA0"/>
    <w:rsid w:val="008970E3"/>
    <w:rsid w:val="008B5EDF"/>
    <w:rsid w:val="008C0E0E"/>
    <w:rsid w:val="008C4002"/>
    <w:rsid w:val="008E31EB"/>
    <w:rsid w:val="0090729E"/>
    <w:rsid w:val="0091102C"/>
    <w:rsid w:val="00911ACE"/>
    <w:rsid w:val="00924DAF"/>
    <w:rsid w:val="00977926"/>
    <w:rsid w:val="009A3642"/>
    <w:rsid w:val="009B7B92"/>
    <w:rsid w:val="009C3AAF"/>
    <w:rsid w:val="009D24BC"/>
    <w:rsid w:val="00A262C3"/>
    <w:rsid w:val="00A52A7B"/>
    <w:rsid w:val="00A610B2"/>
    <w:rsid w:val="00A710E3"/>
    <w:rsid w:val="00A7162A"/>
    <w:rsid w:val="00AA4F6F"/>
    <w:rsid w:val="00AB2E5B"/>
    <w:rsid w:val="00AC383E"/>
    <w:rsid w:val="00AE3BEE"/>
    <w:rsid w:val="00AF2A8C"/>
    <w:rsid w:val="00AF5F01"/>
    <w:rsid w:val="00B121AC"/>
    <w:rsid w:val="00C00BAA"/>
    <w:rsid w:val="00C035BB"/>
    <w:rsid w:val="00C04536"/>
    <w:rsid w:val="00C2461E"/>
    <w:rsid w:val="00C271EC"/>
    <w:rsid w:val="00C839BA"/>
    <w:rsid w:val="00C97A9F"/>
    <w:rsid w:val="00CC18D9"/>
    <w:rsid w:val="00CF0EE3"/>
    <w:rsid w:val="00D42A0C"/>
    <w:rsid w:val="00D5730A"/>
    <w:rsid w:val="00D850A4"/>
    <w:rsid w:val="00DC52D4"/>
    <w:rsid w:val="00DC59A0"/>
    <w:rsid w:val="00DD0A62"/>
    <w:rsid w:val="00DD5BF9"/>
    <w:rsid w:val="00DE2E84"/>
    <w:rsid w:val="00E12E85"/>
    <w:rsid w:val="00E16B19"/>
    <w:rsid w:val="00E21EB4"/>
    <w:rsid w:val="00E25306"/>
    <w:rsid w:val="00E32827"/>
    <w:rsid w:val="00E611E7"/>
    <w:rsid w:val="00E62FAF"/>
    <w:rsid w:val="00E87684"/>
    <w:rsid w:val="00EB4B7D"/>
    <w:rsid w:val="00EE10D3"/>
    <w:rsid w:val="00EF50BB"/>
    <w:rsid w:val="00F172AB"/>
    <w:rsid w:val="00F20341"/>
    <w:rsid w:val="00F30AC0"/>
    <w:rsid w:val="00FC078E"/>
    <w:rsid w:val="00FD0F49"/>
    <w:rsid w:val="00FD56C6"/>
    <w:rsid w:val="018C46A1"/>
    <w:rsid w:val="01B2211C"/>
    <w:rsid w:val="04E53D8F"/>
    <w:rsid w:val="056DDA25"/>
    <w:rsid w:val="05CDD12F"/>
    <w:rsid w:val="09587C89"/>
    <w:rsid w:val="09BC8F27"/>
    <w:rsid w:val="0AC97A77"/>
    <w:rsid w:val="0CA37B54"/>
    <w:rsid w:val="0D24B71F"/>
    <w:rsid w:val="12ABBCBF"/>
    <w:rsid w:val="12B671A3"/>
    <w:rsid w:val="12BB63FF"/>
    <w:rsid w:val="130A11B8"/>
    <w:rsid w:val="13526967"/>
    <w:rsid w:val="1911AFF7"/>
    <w:rsid w:val="1A9DDC5B"/>
    <w:rsid w:val="1E2DA43B"/>
    <w:rsid w:val="1EE23259"/>
    <w:rsid w:val="1FA978E6"/>
    <w:rsid w:val="2155C1A1"/>
    <w:rsid w:val="298C7ED2"/>
    <w:rsid w:val="2A7B469E"/>
    <w:rsid w:val="2B9E3EB8"/>
    <w:rsid w:val="2CF0F6E4"/>
    <w:rsid w:val="2F9ECFFA"/>
    <w:rsid w:val="3071AFDB"/>
    <w:rsid w:val="30A157AB"/>
    <w:rsid w:val="30FA3924"/>
    <w:rsid w:val="33DE71F5"/>
    <w:rsid w:val="3847B3B0"/>
    <w:rsid w:val="3DCB1FC7"/>
    <w:rsid w:val="3E7731A6"/>
    <w:rsid w:val="41B1031C"/>
    <w:rsid w:val="498FF6C9"/>
    <w:rsid w:val="4C519E9D"/>
    <w:rsid w:val="4DA23221"/>
    <w:rsid w:val="4F3E0282"/>
    <w:rsid w:val="50D08497"/>
    <w:rsid w:val="53EFB137"/>
    <w:rsid w:val="542EDDF8"/>
    <w:rsid w:val="5B2761D1"/>
    <w:rsid w:val="5C99DC1F"/>
    <w:rsid w:val="5D0A4377"/>
    <w:rsid w:val="5D13AD96"/>
    <w:rsid w:val="5D6FE319"/>
    <w:rsid w:val="5F27F313"/>
    <w:rsid w:val="625BB360"/>
    <w:rsid w:val="62A2BDF9"/>
    <w:rsid w:val="65242A77"/>
    <w:rsid w:val="65B377D3"/>
    <w:rsid w:val="665A3A67"/>
    <w:rsid w:val="6D891E1F"/>
    <w:rsid w:val="6DFCB2DE"/>
    <w:rsid w:val="72B2F0D8"/>
    <w:rsid w:val="75EE597C"/>
    <w:rsid w:val="766EFD6B"/>
    <w:rsid w:val="77079638"/>
    <w:rsid w:val="77BAB670"/>
    <w:rsid w:val="791256DE"/>
    <w:rsid w:val="79C15268"/>
    <w:rsid w:val="7E7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F51A"/>
  <w15:chartTrackingRefBased/>
  <w15:docId w15:val="{193E1896-6A54-4308-89BC-914C6F45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0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1574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07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157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78E"/>
    <w:rPr>
      <w:rFonts w:asciiTheme="majorHAnsi" w:eastAsiaTheme="majorEastAsia" w:hAnsiTheme="majorHAnsi" w:cstheme="majorBidi"/>
      <w:color w:val="11574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78E"/>
    <w:rPr>
      <w:rFonts w:asciiTheme="majorHAnsi" w:eastAsiaTheme="majorEastAsia" w:hAnsiTheme="majorHAnsi" w:cstheme="majorBidi"/>
      <w:color w:val="11574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32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8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m.zoom.us/j/97304965260?pwd=Q0x3MUIxYitEU3FicWVJNTJoNEFjUT09;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go.wm.edu/V5GyX2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hyperlink" Target="https://cwm.zoom.us/j/97304965260?pwd=Q0x3MUIxYitEU3FicWVJNTJoNEFjUT09;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ustin\AppData\Local\Temp\Temp1_Invoice%20Source%20(2).zip\Invoice%20Source165425188355185526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ustin\AppData\Local\Temp\Temp1_Invoice%20Source%20(2).zip\Invoice%20Source165425188355185526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'Invoice Source Table'!$B$1</c:f>
              <c:strCache>
                <c:ptCount val="1"/>
                <c:pt idx="0">
                  <c:v>Number Of Invoices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E0D-4F5A-9A63-2110DE7FB74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E0D-4F5A-9A63-2110DE7FB74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E0D-4F5A-9A63-2110DE7FB74B}"/>
              </c:ext>
            </c:extLst>
          </c:dPt>
          <c:cat>
            <c:strRef>
              <c:f>'Invoice Source1654251883551855265.xlsx'!SourceType</c:f>
              <c:strCache>
                <c:ptCount val="4"/>
                <c:pt idx="0">
                  <c:v>Electronic (Vendor System) (32.7%)</c:v>
                </c:pt>
                <c:pt idx="1">
                  <c:v>Form Request (30.7%)</c:v>
                </c:pt>
                <c:pt idx="2">
                  <c:v>Manual (36.5%)</c:v>
                </c:pt>
                <c:pt idx="3">
                  <c:v>Recurring (0.1%)</c:v>
                </c:pt>
              </c:strCache>
            </c:strRef>
          </c:cat>
          <c:val>
            <c:numRef>
              <c:f>'Invoice Source1654251883551855265.xlsx'!TotalInvoiceCount</c:f>
              <c:numCache>
                <c:formatCode>General</c:formatCode>
                <c:ptCount val="4"/>
                <c:pt idx="0">
                  <c:v>1803</c:v>
                </c:pt>
                <c:pt idx="1">
                  <c:v>1696</c:v>
                </c:pt>
                <c:pt idx="2">
                  <c:v>2016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0D-4F5A-9A63-2110DE7FB7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087949293007126"/>
          <c:y val="4.0058588194272396E-2"/>
          <c:w val="0.62797240907415375"/>
          <c:h val="0.835695843770932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'Invoice Source Table'!$B$1</c:f>
              <c:strCache>
                <c:ptCount val="1"/>
                <c:pt idx="0">
                  <c:v>Number Of Invoices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'Invoice Source1654251883551855265.xlsx'!SourceTypeOnly</c:f>
              <c:strCache>
                <c:ptCount val="4"/>
                <c:pt idx="0">
                  <c:v>Electronic (Vendor System)</c:v>
                </c:pt>
                <c:pt idx="1">
                  <c:v>Form Request</c:v>
                </c:pt>
                <c:pt idx="2">
                  <c:v>Manual</c:v>
                </c:pt>
                <c:pt idx="3">
                  <c:v>Recurring</c:v>
                </c:pt>
              </c:strCache>
            </c:strRef>
          </c:cat>
          <c:val>
            <c:numRef>
              <c:f>'Invoice Source1654251883551855265.xlsx'!TotalInvoiceCount</c:f>
              <c:numCache>
                <c:formatCode>General</c:formatCode>
                <c:ptCount val="4"/>
                <c:pt idx="0">
                  <c:v>1803</c:v>
                </c:pt>
                <c:pt idx="1">
                  <c:v>1696</c:v>
                </c:pt>
                <c:pt idx="2">
                  <c:v>2016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26-474A-924D-90B927AD8E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42891408"/>
        <c:axId val="142891968"/>
      </c:barChart>
      <c:catAx>
        <c:axId val="142891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2891968"/>
        <c:crosses val="autoZero"/>
        <c:auto val="1"/>
        <c:lblAlgn val="ctr"/>
        <c:lblOffset val="100"/>
        <c:noMultiLvlLbl val="0"/>
      </c:catAx>
      <c:valAx>
        <c:axId val="142891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28914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W&amp;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15740"/>
      </a:accent1>
      <a:accent2>
        <a:srgbClr val="B9975B"/>
      </a:accent2>
      <a:accent3>
        <a:srgbClr val="D0D3D4"/>
      </a:accent3>
      <a:accent4>
        <a:srgbClr val="F0B323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7740C064BA14D842F29305016BC90" ma:contentTypeVersion="5" ma:contentTypeDescription="Create a new document." ma:contentTypeScope="" ma:versionID="8075c39536306b895fd25bb60b4de5e5">
  <xsd:schema xmlns:xsd="http://www.w3.org/2001/XMLSchema" xmlns:xs="http://www.w3.org/2001/XMLSchema" xmlns:p="http://schemas.microsoft.com/office/2006/metadata/properties" xmlns:ns2="e3146be0-2f52-478a-ac0b-3cc23bb079eb" xmlns:ns3="89495435-a7ac-455b-88cf-20270d0e1a9c" targetNamespace="http://schemas.microsoft.com/office/2006/metadata/properties" ma:root="true" ma:fieldsID="89c394e06246645533739f4dcf1fb0f1" ns2:_="" ns3:_="">
    <xsd:import namespace="e3146be0-2f52-478a-ac0b-3cc23bb079eb"/>
    <xsd:import namespace="89495435-a7ac-455b-88cf-20270d0e1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6be0-2f52-478a-ac0b-3cc23bb07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95435-a7ac-455b-88cf-20270d0e1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2D9A8-E461-48F1-9DEA-901D8BA47089}"/>
</file>

<file path=customXml/itemProps2.xml><?xml version="1.0" encoding="utf-8"?>
<ds:datastoreItem xmlns:ds="http://schemas.openxmlformats.org/officeDocument/2006/customXml" ds:itemID="{8AFB809C-EF85-462B-8976-BF2BB763D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85FC5-4B67-4D5E-8500-A505E74F47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Company>William &amp; Mary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Marra</dc:creator>
  <cp:keywords/>
  <dc:description/>
  <cp:lastModifiedBy>Austin, Marra</cp:lastModifiedBy>
  <cp:revision>3</cp:revision>
  <dcterms:created xsi:type="dcterms:W3CDTF">2021-09-27T15:01:00Z</dcterms:created>
  <dcterms:modified xsi:type="dcterms:W3CDTF">2021-09-29T16:54:00Z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0x010100B707740C064BA14D842F29305016BC90</vt:lpwstr>
  </property>
</Properties>
</file>