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78168" w14:textId="5CAF6A4C" w:rsidR="00FA151E" w:rsidRDefault="00F4127D" w:rsidP="00FA151E">
      <w:pPr>
        <w:tabs>
          <w:tab w:val="center" w:pos="4320"/>
          <w:tab w:val="left" w:pos="4500"/>
          <w:tab w:val="left" w:pos="4680"/>
          <w:tab w:val="left" w:pos="5040"/>
        </w:tabs>
        <w:rPr>
          <w:color w:val="auto"/>
        </w:rPr>
      </w:pPr>
      <w:r>
        <w:rPr>
          <w:color w:val="auto"/>
        </w:rPr>
        <w:tab/>
        <w:t xml:space="preserve">       </w:t>
      </w:r>
      <w:r w:rsidR="005B71A6">
        <w:rPr>
          <w:color w:val="auto"/>
        </w:rPr>
        <w:t xml:space="preserve">    </w:t>
      </w:r>
      <w:r w:rsidR="00FA151E">
        <w:rPr>
          <w:color w:val="auto"/>
        </w:rPr>
        <w:t xml:space="preserve"> </w:t>
      </w:r>
      <w:r w:rsidR="00FA151E">
        <w:rPr>
          <w:noProof/>
          <w:color w:val="auto"/>
        </w:rPr>
        <w:drawing>
          <wp:inline distT="0" distB="0" distL="0" distR="0" wp14:anchorId="41A20962" wp14:editId="004ECCCC">
            <wp:extent cx="670560" cy="77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51E">
        <w:rPr>
          <w:color w:val="auto"/>
        </w:rPr>
        <w:tab/>
      </w:r>
      <w:r w:rsidR="00FA151E">
        <w:rPr>
          <w:color w:val="auto"/>
        </w:rPr>
        <w:tab/>
        <w:t xml:space="preserve">                </w:t>
      </w:r>
    </w:p>
    <w:p w14:paraId="165894BF" w14:textId="77777777" w:rsidR="000651EC" w:rsidRPr="000651EC" w:rsidRDefault="000651EC" w:rsidP="000651EC">
      <w:pPr>
        <w:widowControl w:val="0"/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b/>
          <w:i/>
          <w:color w:val="auto"/>
          <w:sz w:val="32"/>
          <w:szCs w:val="28"/>
        </w:rPr>
      </w:pPr>
      <w:r w:rsidRPr="000651EC">
        <w:rPr>
          <w:rFonts w:ascii="Times New Roman" w:eastAsiaTheme="minorEastAsia" w:hAnsi="Times New Roman"/>
          <w:b/>
          <w:i/>
          <w:color w:val="auto"/>
          <w:sz w:val="32"/>
          <w:szCs w:val="28"/>
        </w:rPr>
        <w:t>Superconducting Thin Films for SRF Cavity Applications: A Route to</w:t>
      </w:r>
    </w:p>
    <w:p w14:paraId="6EB075F2" w14:textId="5F4F1284" w:rsidR="00FC21B8" w:rsidRDefault="000651EC" w:rsidP="000651EC">
      <w:pPr>
        <w:tabs>
          <w:tab w:val="left" w:pos="0"/>
          <w:tab w:val="left" w:pos="630"/>
          <w:tab w:val="left" w:pos="1080"/>
        </w:tabs>
        <w:spacing w:before="0" w:after="0"/>
        <w:jc w:val="center"/>
        <w:rPr>
          <w:rFonts w:ascii="Times New Roman" w:eastAsiaTheme="minorEastAsia" w:hAnsi="Times New Roman"/>
          <w:b/>
          <w:i/>
          <w:color w:val="auto"/>
          <w:sz w:val="32"/>
          <w:szCs w:val="28"/>
        </w:rPr>
      </w:pPr>
      <w:r w:rsidRPr="000651EC">
        <w:rPr>
          <w:rFonts w:ascii="Times New Roman" w:eastAsiaTheme="minorEastAsia" w:hAnsi="Times New Roman"/>
          <w:b/>
          <w:i/>
          <w:color w:val="auto"/>
          <w:sz w:val="32"/>
          <w:szCs w:val="28"/>
        </w:rPr>
        <w:t xml:space="preserve">Higher Field Gradient </w:t>
      </w:r>
      <w:proofErr w:type="spellStart"/>
      <w:r w:rsidRPr="000651EC">
        <w:rPr>
          <w:rFonts w:ascii="Times New Roman" w:eastAsiaTheme="minorEastAsia" w:hAnsi="Times New Roman"/>
          <w:b/>
          <w:i/>
          <w:color w:val="auto"/>
          <w:sz w:val="32"/>
          <w:szCs w:val="28"/>
        </w:rPr>
        <w:t>Linacs</w:t>
      </w:r>
      <w:proofErr w:type="spellEnd"/>
    </w:p>
    <w:p w14:paraId="77863574" w14:textId="77777777" w:rsidR="000651EC" w:rsidRPr="000651EC" w:rsidRDefault="000651EC" w:rsidP="000651EC">
      <w:pPr>
        <w:tabs>
          <w:tab w:val="left" w:pos="0"/>
          <w:tab w:val="left" w:pos="630"/>
          <w:tab w:val="left" w:pos="1080"/>
        </w:tabs>
        <w:spacing w:before="0" w:after="0"/>
        <w:jc w:val="center"/>
        <w:rPr>
          <w:rFonts w:ascii="Times New Roman" w:hAnsi="Times New Roman"/>
          <w:b/>
          <w:i/>
          <w:color w:val="auto"/>
          <w:sz w:val="40"/>
        </w:rPr>
      </w:pPr>
    </w:p>
    <w:p w14:paraId="6E2DEEBA" w14:textId="71722A3A" w:rsidR="00FA151E" w:rsidRPr="00001F94" w:rsidRDefault="000651EC" w:rsidP="00397909">
      <w:pPr>
        <w:tabs>
          <w:tab w:val="left" w:pos="0"/>
          <w:tab w:val="left" w:pos="630"/>
          <w:tab w:val="left" w:pos="1080"/>
        </w:tabs>
        <w:spacing w:before="0" w:after="0"/>
        <w:jc w:val="center"/>
        <w:rPr>
          <w:rFonts w:ascii="Times New Roman" w:hAnsi="Times New Roman"/>
          <w:b/>
          <w:color w:val="auto"/>
          <w:sz w:val="32"/>
        </w:rPr>
      </w:pPr>
      <w:r>
        <w:rPr>
          <w:rFonts w:ascii="Times New Roman" w:hAnsi="Times New Roman"/>
          <w:b/>
          <w:color w:val="auto"/>
          <w:sz w:val="32"/>
        </w:rPr>
        <w:t>William Roach</w:t>
      </w:r>
    </w:p>
    <w:p w14:paraId="732C40A4" w14:textId="77777777" w:rsidR="00FA151E" w:rsidRPr="00375E62" w:rsidRDefault="00FA151E" w:rsidP="00FA151E">
      <w:pPr>
        <w:tabs>
          <w:tab w:val="left" w:pos="630"/>
          <w:tab w:val="left" w:pos="1080"/>
        </w:tabs>
        <w:ind w:left="90" w:hanging="90"/>
        <w:jc w:val="center"/>
        <w:rPr>
          <w:rFonts w:ascii="Times New Roman" w:hAnsi="Times New Roman"/>
          <w:color w:val="auto"/>
        </w:rPr>
      </w:pPr>
    </w:p>
    <w:p w14:paraId="03B8C326" w14:textId="5CB28CDD" w:rsidR="00FA151E" w:rsidRPr="00375E62" w:rsidRDefault="00FA151E" w:rsidP="00FA151E">
      <w:pPr>
        <w:tabs>
          <w:tab w:val="left" w:pos="630"/>
          <w:tab w:val="left" w:pos="1080"/>
        </w:tabs>
        <w:ind w:left="90" w:hanging="90"/>
        <w:jc w:val="center"/>
        <w:rPr>
          <w:rFonts w:ascii="Times New Roman" w:hAnsi="Times New Roman"/>
          <w:color w:val="auto"/>
          <w:sz w:val="28"/>
          <w:szCs w:val="28"/>
        </w:rPr>
      </w:pPr>
      <w:r w:rsidRPr="00375E62">
        <w:rPr>
          <w:rFonts w:ascii="Times New Roman" w:hAnsi="Times New Roman"/>
          <w:color w:val="auto"/>
          <w:sz w:val="28"/>
          <w:szCs w:val="28"/>
        </w:rPr>
        <w:t>College of William &amp; Mary, Dep</w:t>
      </w:r>
      <w:r w:rsidR="000651EC">
        <w:rPr>
          <w:rFonts w:ascii="Times New Roman" w:hAnsi="Times New Roman"/>
          <w:color w:val="auto"/>
          <w:sz w:val="28"/>
          <w:szCs w:val="28"/>
        </w:rPr>
        <w:t>artment of Applied Science, 2013</w:t>
      </w:r>
    </w:p>
    <w:p w14:paraId="62234E1D" w14:textId="5DA1A475" w:rsidR="00FA151E" w:rsidRPr="00375E62" w:rsidRDefault="00FA151E" w:rsidP="00FA151E">
      <w:pPr>
        <w:tabs>
          <w:tab w:val="left" w:pos="630"/>
          <w:tab w:val="left" w:pos="1080"/>
        </w:tabs>
        <w:ind w:left="90" w:hanging="90"/>
        <w:jc w:val="center"/>
        <w:rPr>
          <w:rFonts w:ascii="Times New Roman" w:hAnsi="Times New Roman"/>
          <w:color w:val="auto"/>
          <w:sz w:val="28"/>
          <w:szCs w:val="28"/>
        </w:rPr>
      </w:pPr>
      <w:r w:rsidRPr="00375E62">
        <w:rPr>
          <w:rFonts w:ascii="Times New Roman" w:hAnsi="Times New Roman"/>
          <w:color w:val="auto"/>
          <w:sz w:val="28"/>
          <w:szCs w:val="28"/>
        </w:rPr>
        <w:t xml:space="preserve">Field: </w:t>
      </w:r>
      <w:r w:rsidR="000651EC">
        <w:rPr>
          <w:rFonts w:ascii="Times New Roman" w:hAnsi="Times New Roman"/>
          <w:color w:val="auto"/>
          <w:sz w:val="28"/>
          <w:szCs w:val="28"/>
        </w:rPr>
        <w:t>Materials Science and Engineering</w:t>
      </w:r>
      <w:r w:rsidRPr="00375E62">
        <w:rPr>
          <w:rFonts w:ascii="Times New Roman" w:hAnsi="Times New Roman"/>
          <w:color w:val="auto"/>
          <w:sz w:val="28"/>
          <w:szCs w:val="28"/>
        </w:rPr>
        <w:t xml:space="preserve">, Degree: </w:t>
      </w:r>
      <w:r w:rsidR="005C556F" w:rsidRPr="00375E62">
        <w:rPr>
          <w:rFonts w:ascii="Times New Roman" w:hAnsi="Times New Roman"/>
          <w:color w:val="auto"/>
          <w:sz w:val="28"/>
          <w:szCs w:val="28"/>
        </w:rPr>
        <w:t>Ph</w:t>
      </w:r>
      <w:r w:rsidRPr="00375E62">
        <w:rPr>
          <w:rFonts w:ascii="Times New Roman" w:hAnsi="Times New Roman"/>
          <w:color w:val="auto"/>
          <w:sz w:val="28"/>
          <w:szCs w:val="28"/>
        </w:rPr>
        <w:t>.</w:t>
      </w:r>
      <w:r w:rsidR="005C556F" w:rsidRPr="00375E62">
        <w:rPr>
          <w:rFonts w:ascii="Times New Roman" w:hAnsi="Times New Roman"/>
          <w:color w:val="auto"/>
          <w:sz w:val="28"/>
          <w:szCs w:val="28"/>
        </w:rPr>
        <w:t>D.</w:t>
      </w:r>
    </w:p>
    <w:p w14:paraId="7F78890C" w14:textId="77777777" w:rsidR="00FA151E" w:rsidRPr="00375E62" w:rsidRDefault="00FA151E" w:rsidP="00FA151E">
      <w:pPr>
        <w:tabs>
          <w:tab w:val="left" w:pos="630"/>
          <w:tab w:val="left" w:pos="1080"/>
        </w:tabs>
        <w:ind w:left="90" w:hanging="9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E2E7B62" w14:textId="7B261EC3" w:rsidR="00FA151E" w:rsidRPr="00375E62" w:rsidRDefault="00FA151E" w:rsidP="00FA151E">
      <w:pPr>
        <w:tabs>
          <w:tab w:val="left" w:pos="630"/>
          <w:tab w:val="left" w:pos="1080"/>
        </w:tabs>
        <w:ind w:left="90" w:hanging="90"/>
        <w:jc w:val="center"/>
        <w:rPr>
          <w:rFonts w:ascii="Times New Roman" w:hAnsi="Times New Roman"/>
          <w:color w:val="auto"/>
          <w:sz w:val="28"/>
          <w:szCs w:val="28"/>
        </w:rPr>
      </w:pPr>
      <w:r w:rsidRPr="00375E62">
        <w:rPr>
          <w:rFonts w:ascii="Times New Roman" w:hAnsi="Times New Roman"/>
          <w:color w:val="auto"/>
          <w:sz w:val="28"/>
          <w:szCs w:val="28"/>
        </w:rPr>
        <w:t xml:space="preserve">Advisor: </w:t>
      </w:r>
      <w:r w:rsidR="000651EC">
        <w:rPr>
          <w:rFonts w:ascii="Times New Roman" w:hAnsi="Times New Roman"/>
          <w:color w:val="auto"/>
          <w:sz w:val="28"/>
          <w:szCs w:val="28"/>
        </w:rPr>
        <w:t xml:space="preserve">Ale </w:t>
      </w:r>
      <w:proofErr w:type="spellStart"/>
      <w:r w:rsidR="000651EC">
        <w:rPr>
          <w:rFonts w:ascii="Times New Roman" w:hAnsi="Times New Roman"/>
          <w:color w:val="auto"/>
          <w:sz w:val="28"/>
          <w:szCs w:val="28"/>
        </w:rPr>
        <w:t>Lukaszew</w:t>
      </w:r>
      <w:proofErr w:type="spellEnd"/>
      <w:r w:rsidRPr="00375E62">
        <w:rPr>
          <w:rFonts w:ascii="Times New Roman" w:hAnsi="Times New Roman"/>
          <w:color w:val="auto"/>
          <w:sz w:val="28"/>
          <w:szCs w:val="28"/>
        </w:rPr>
        <w:t xml:space="preserve">, Professor of </w:t>
      </w:r>
      <w:r w:rsidR="003875EE" w:rsidRPr="00375E62">
        <w:rPr>
          <w:rFonts w:ascii="Times New Roman" w:hAnsi="Times New Roman"/>
          <w:color w:val="auto"/>
          <w:sz w:val="28"/>
          <w:szCs w:val="28"/>
        </w:rPr>
        <w:t>Applied Science</w:t>
      </w:r>
    </w:p>
    <w:p w14:paraId="68403956" w14:textId="77777777" w:rsidR="00FA151E" w:rsidRPr="00375E62" w:rsidRDefault="00FA151E" w:rsidP="00FA151E">
      <w:pPr>
        <w:tabs>
          <w:tab w:val="left" w:pos="630"/>
          <w:tab w:val="left" w:pos="108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2E4972D" w14:textId="77777777" w:rsidR="00FA151E" w:rsidRPr="00375E62" w:rsidRDefault="00FA151E" w:rsidP="00FA151E">
      <w:pPr>
        <w:tabs>
          <w:tab w:val="left" w:pos="630"/>
          <w:tab w:val="left" w:pos="1080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375E62">
        <w:rPr>
          <w:rFonts w:ascii="Times New Roman" w:hAnsi="Times New Roman"/>
          <w:color w:val="auto"/>
          <w:sz w:val="28"/>
          <w:szCs w:val="28"/>
        </w:rPr>
        <w:t>Abstract</w:t>
      </w:r>
      <w:bookmarkStart w:id="0" w:name="_GoBack"/>
      <w:bookmarkEnd w:id="0"/>
    </w:p>
    <w:p w14:paraId="36668AE3" w14:textId="77777777" w:rsidR="005B71A6" w:rsidRDefault="005B71A6" w:rsidP="000651EC">
      <w:pPr>
        <w:tabs>
          <w:tab w:val="left" w:pos="630"/>
          <w:tab w:val="left" w:pos="1080"/>
        </w:tabs>
        <w:ind w:left="90"/>
        <w:rPr>
          <w:rFonts w:ascii="Times New Roman" w:hAnsi="Times New Roman"/>
          <w:color w:val="auto"/>
          <w:sz w:val="32"/>
        </w:rPr>
      </w:pPr>
    </w:p>
    <w:p w14:paraId="11357918" w14:textId="407CFEF4" w:rsidR="00FC21B8" w:rsidRPr="000651EC" w:rsidRDefault="000651EC" w:rsidP="000651EC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/>
          <w:color w:val="auto"/>
          <w:sz w:val="26"/>
          <w:szCs w:val="26"/>
        </w:rPr>
      </w:pP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M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any linear accelerator (</w:t>
      </w:r>
      <w:proofErr w:type="spellStart"/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linac</w:t>
      </w:r>
      <w:proofErr w:type="spellEnd"/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) applications rely on the use of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superconducting radio frequency (SRF) cavities. In order to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overcome the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current field gradient limits imposed by the use of bulk niobium,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a model involving the deposition of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alternating superconducting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-insulating-superconducting (SIS) thin films onto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the interior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surface of SRF cavities has been proposed. Since SRF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performance is a surface phenomenon, the critical surface of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these cavities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is less than 1 micron thick, thus enabling the use of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thin films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. Before such approach can successfully be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implemented fundamental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studies correlating the microstructure and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superconducting properties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of thin films are needed. To this end the effect of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grain boundary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density and interfacial strain in thin films has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been explored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. Thin films with a smaller grain boundary density were found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to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have better superconducting properties than films with a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larger grain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boundary density. Interfacial strain due to a lattice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mismatch between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the film and substrate lead to two regions in films,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one strained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region near the interface and one relaxed region away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from the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interface. The presence of two regions in the film resulted in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two types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of superconducting behavior. Niobium films were deposited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onto copper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surfaces to help understand why previous attempts of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implementing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niobium coated copper cavities in order to exploit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the better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thermal properties of copper had varying degrees of success.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It was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found that an increased growth temperature produced niobium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films with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larger grains and correspondingly better superconducting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properties. Proof of principle multilayer samples were prepared to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test the SIS model. For the first time, multilayers were produced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that were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capable of shielding an underlying niobium film from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vortex penetration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beyond the lower critical field of bulk niobium. 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>This result</w:t>
      </w:r>
      <w:r w:rsidRPr="000651EC">
        <w:rPr>
          <w:rFonts w:ascii="Times New Roman" w:eastAsiaTheme="minorEastAsia" w:hAnsi="Times New Roman"/>
          <w:color w:val="auto"/>
          <w:sz w:val="26"/>
          <w:szCs w:val="26"/>
        </w:rPr>
        <w:t xml:space="preserve"> provides evidence supporting the feasibility of the SIS model.</w:t>
      </w:r>
    </w:p>
    <w:sectPr w:rsidR="00FC21B8" w:rsidRPr="000651EC" w:rsidSect="00796EE7">
      <w:pgSz w:w="12240" w:h="15840"/>
      <w:pgMar w:top="1350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E"/>
    <w:rsid w:val="00001F94"/>
    <w:rsid w:val="00014904"/>
    <w:rsid w:val="000651EC"/>
    <w:rsid w:val="00152E88"/>
    <w:rsid w:val="00193C6A"/>
    <w:rsid w:val="003228A3"/>
    <w:rsid w:val="00366CBF"/>
    <w:rsid w:val="00375E62"/>
    <w:rsid w:val="003875EE"/>
    <w:rsid w:val="00397909"/>
    <w:rsid w:val="004F45D6"/>
    <w:rsid w:val="00505DB1"/>
    <w:rsid w:val="00552825"/>
    <w:rsid w:val="005B200B"/>
    <w:rsid w:val="005B71A6"/>
    <w:rsid w:val="005C556F"/>
    <w:rsid w:val="005D365C"/>
    <w:rsid w:val="005E2ECF"/>
    <w:rsid w:val="00796EE7"/>
    <w:rsid w:val="0098149E"/>
    <w:rsid w:val="00BB5E88"/>
    <w:rsid w:val="00BF6D68"/>
    <w:rsid w:val="00C00162"/>
    <w:rsid w:val="00C86F69"/>
    <w:rsid w:val="00F4127D"/>
    <w:rsid w:val="00FA151E"/>
    <w:rsid w:val="00F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5FF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1E"/>
    <w:pPr>
      <w:spacing w:before="60" w:after="60"/>
    </w:pPr>
    <w:rPr>
      <w:rFonts w:ascii="Copperplate" w:eastAsia="Times New Roman" w:hAnsi="Copperplate" w:cs="Times New Roman"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88"/>
    <w:pPr>
      <w:spacing w:before="0" w:after="0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8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A151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1E"/>
    <w:pPr>
      <w:spacing w:before="60" w:after="60"/>
    </w:pPr>
    <w:rPr>
      <w:rFonts w:ascii="Copperplate" w:eastAsia="Times New Roman" w:hAnsi="Copperplate" w:cs="Times New Roman"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88"/>
    <w:pPr>
      <w:spacing w:before="0" w:after="0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8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A151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Ashburne</dc:creator>
  <cp:keywords/>
  <dc:description/>
  <cp:lastModifiedBy>Lianne Ashburne</cp:lastModifiedBy>
  <cp:revision>2</cp:revision>
  <cp:lastPrinted>2016-09-21T13:32:00Z</cp:lastPrinted>
  <dcterms:created xsi:type="dcterms:W3CDTF">2016-09-21T13:39:00Z</dcterms:created>
  <dcterms:modified xsi:type="dcterms:W3CDTF">2016-09-21T13:39:00Z</dcterms:modified>
</cp:coreProperties>
</file>